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07B1875F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C45123">
        <w:rPr>
          <w:rFonts w:ascii="標楷體" w:eastAsia="標楷體" w:hAnsi="標楷體" w:cs="標楷體" w:hint="eastAsia"/>
          <w:sz w:val="28"/>
          <w:szCs w:val="28"/>
        </w:rPr>
        <w:t>3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4404E0">
        <w:rPr>
          <w:rFonts w:ascii="標楷體" w:eastAsia="標楷體" w:hAnsi="標楷體" w:cs="標楷體" w:hint="eastAsia"/>
          <w:sz w:val="28"/>
          <w:szCs w:val="28"/>
        </w:rPr>
        <w:t>上學期</w:t>
      </w:r>
      <w:r w:rsidR="006A1B9B">
        <w:rPr>
          <w:rFonts w:ascii="標楷體" w:eastAsia="標楷體" w:hAnsi="標楷體" w:cs="標楷體" w:hint="eastAsia"/>
          <w:sz w:val="28"/>
          <w:szCs w:val="28"/>
        </w:rPr>
        <w:t>學前</w:t>
      </w:r>
      <w:r w:rsidRPr="00C723E5">
        <w:rPr>
          <w:rFonts w:ascii="標楷體" w:eastAsia="標楷體" w:hAnsi="標楷體" w:cs="標楷體"/>
          <w:sz w:val="28"/>
          <w:szCs w:val="28"/>
        </w:rPr>
        <w:t>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464B1545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</w:t>
      </w:r>
      <w:r w:rsidR="000136EE" w:rsidRPr="000136EE">
        <w:rPr>
          <w:rFonts w:eastAsia="標楷體" w:hint="eastAsia"/>
          <w:sz w:val="28"/>
          <w:szCs w:val="28"/>
        </w:rPr>
        <w:t>嘉義縣特殊教育心理評量人員培訓實施要點</w:t>
      </w:r>
      <w:r w:rsidR="006A1B9B" w:rsidRPr="004850A5">
        <w:rPr>
          <w:rFonts w:eastAsia="標楷體"/>
          <w:sz w:val="28"/>
          <w:szCs w:val="28"/>
        </w:rPr>
        <w:t>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1A68F373" w14:textId="77777777" w:rsidR="006A1B9B" w:rsidRDefault="00C67F4A" w:rsidP="006A1B9B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6A1B9B">
        <w:rPr>
          <w:rFonts w:ascii="標楷體" w:eastAsia="標楷體" w:hAnsi="標楷體" w:cs="標楷體"/>
          <w:sz w:val="28"/>
          <w:szCs w:val="28"/>
        </w:rPr>
        <w:t>肆、培訓對象：</w:t>
      </w:r>
    </w:p>
    <w:p w14:paraId="2D43E7EB" w14:textId="4A20C13C" w:rsidR="006A1B9B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eastAsia="標楷體"/>
          <w:sz w:val="28"/>
          <w:szCs w:val="28"/>
        </w:rPr>
      </w:pPr>
      <w:bookmarkStart w:id="2" w:name="_GoBack"/>
      <w:r w:rsidRPr="006A1B9B">
        <w:rPr>
          <w:rFonts w:eastAsia="標楷體"/>
          <w:sz w:val="28"/>
          <w:szCs w:val="28"/>
        </w:rPr>
        <w:t>本縣學</w:t>
      </w:r>
      <w:r w:rsidRPr="006A1B9B">
        <w:rPr>
          <w:rFonts w:eastAsia="標楷體" w:hint="eastAsia"/>
          <w:sz w:val="28"/>
          <w:szCs w:val="28"/>
        </w:rPr>
        <w:t>前</w:t>
      </w:r>
      <w:r w:rsidRPr="006A1B9B">
        <w:rPr>
          <w:rFonts w:eastAsia="標楷體"/>
          <w:sz w:val="28"/>
          <w:szCs w:val="28"/>
        </w:rPr>
        <w:t>合格</w:t>
      </w:r>
      <w:r w:rsidRPr="006A1B9B">
        <w:rPr>
          <w:rFonts w:eastAsia="標楷體" w:hint="eastAsia"/>
          <w:sz w:val="28"/>
          <w:szCs w:val="28"/>
        </w:rPr>
        <w:t>正式</w:t>
      </w:r>
      <w:r w:rsidRPr="006A1B9B">
        <w:rPr>
          <w:rFonts w:eastAsia="標楷體"/>
          <w:sz w:val="28"/>
          <w:szCs w:val="28"/>
        </w:rPr>
        <w:t>特</w:t>
      </w:r>
      <w:r w:rsidRPr="006A1B9B">
        <w:rPr>
          <w:rFonts w:eastAsia="標楷體" w:hint="eastAsia"/>
          <w:sz w:val="28"/>
          <w:szCs w:val="28"/>
        </w:rPr>
        <w:t>殊</w:t>
      </w:r>
      <w:r w:rsidRPr="006A1B9B">
        <w:rPr>
          <w:rFonts w:eastAsia="標楷體"/>
          <w:sz w:val="28"/>
          <w:szCs w:val="28"/>
        </w:rPr>
        <w:t>教</w:t>
      </w:r>
      <w:r w:rsidRPr="006A1B9B">
        <w:rPr>
          <w:rFonts w:eastAsia="標楷體" w:hint="eastAsia"/>
          <w:sz w:val="28"/>
          <w:szCs w:val="28"/>
        </w:rPr>
        <w:t>育</w:t>
      </w:r>
      <w:r w:rsidRPr="006A1B9B">
        <w:rPr>
          <w:rFonts w:eastAsia="標楷體"/>
          <w:sz w:val="28"/>
          <w:szCs w:val="28"/>
        </w:rPr>
        <w:t>教師</w:t>
      </w:r>
      <w:r w:rsidRPr="006A1B9B">
        <w:rPr>
          <w:rFonts w:eastAsia="標楷體" w:hint="eastAsia"/>
          <w:sz w:val="28"/>
          <w:szCs w:val="28"/>
        </w:rPr>
        <w:t>及合格代理教師</w:t>
      </w:r>
    </w:p>
    <w:p w14:paraId="2C57FB89" w14:textId="77010296" w:rsidR="006A1B9B" w:rsidRPr="006A1B9B" w:rsidRDefault="006A1B9B" w:rsidP="006A1B9B">
      <w:pPr>
        <w:pStyle w:val="a9"/>
        <w:numPr>
          <w:ilvl w:val="0"/>
          <w:numId w:val="3"/>
        </w:numPr>
        <w:spacing w:line="460" w:lineRule="exact"/>
        <w:rPr>
          <w:rFonts w:eastAsia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本縣合格正式幼兒園教師及合格幼兒園代理教師</w:t>
      </w:r>
    </w:p>
    <w:p w14:paraId="5100E04C" w14:textId="76C646D4" w:rsidR="006A1B9B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本縣具合格幼兒園教師證之</w:t>
      </w:r>
      <w:r w:rsidRPr="00650004">
        <w:rPr>
          <w:rFonts w:ascii="標楷體" w:eastAsia="標楷體" w:hAnsi="標楷體"/>
          <w:sz w:val="28"/>
          <w:szCs w:val="28"/>
        </w:rPr>
        <w:t>教保員。</w:t>
      </w:r>
    </w:p>
    <w:p w14:paraId="2F98334B" w14:textId="1A186AB7" w:rsidR="00557C04" w:rsidRDefault="00557C04" w:rsidP="00557C04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學校、幼兒園服務之輔導、心理或相關專業人員。</w:t>
      </w:r>
    </w:p>
    <w:p w14:paraId="1C3AF4DA" w14:textId="77777777" w:rsidR="00557C04" w:rsidRPr="00557C04" w:rsidRDefault="00557C04" w:rsidP="00557C04">
      <w:pPr>
        <w:pStyle w:val="a9"/>
        <w:numPr>
          <w:ilvl w:val="0"/>
          <w:numId w:val="3"/>
        </w:numPr>
        <w:spacing w:line="4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具特殊教育、輔導或心理專長之代理教師或教保員。</w:t>
      </w:r>
    </w:p>
    <w:p w14:paraId="54DCD749" w14:textId="4A885B96" w:rsidR="00557C04" w:rsidRPr="00650004" w:rsidRDefault="00557C04" w:rsidP="00557C04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編制內不具特殊教育、輔導或心理專長之教師或教保員。</w:t>
      </w:r>
    </w:p>
    <w:bookmarkEnd w:id="2"/>
    <w:p w14:paraId="2F330338" w14:textId="29A9B3EE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1D4580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77777777" w:rsidR="001D4580" w:rsidRPr="00A200F6" w:rsidRDefault="001D4580" w:rsidP="00D90D30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1D4580" w:rsidRPr="00A200F6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23B49435" w:rsidR="001D4580" w:rsidRPr="00C45123" w:rsidRDefault="001D4580" w:rsidP="00D90D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45123">
              <w:rPr>
                <w:rFonts w:hAnsi="標楷體"/>
                <w:color w:val="auto"/>
              </w:rPr>
              <w:t>【特殊幼兒評估概論】與【幼兒發展評估實施】</w:t>
            </w:r>
          </w:p>
        </w:tc>
        <w:tc>
          <w:tcPr>
            <w:tcW w:w="582" w:type="pct"/>
            <w:vAlign w:val="center"/>
          </w:tcPr>
          <w:p w14:paraId="0643DD68" w14:textId="10A3B071" w:rsidR="001D4580" w:rsidRPr="0036073E" w:rsidRDefault="001D4580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07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-8/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08</w:t>
            </w:r>
          </w:p>
        </w:tc>
        <w:tc>
          <w:tcPr>
            <w:tcW w:w="491" w:type="pct"/>
            <w:vAlign w:val="center"/>
          </w:tcPr>
          <w:p w14:paraId="4A30EA06" w14:textId="38B86809" w:rsidR="001D4580" w:rsidRPr="00D90D30" w:rsidRDefault="001D4580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</w:tr>
      <w:tr w:rsidR="001D4580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1D4580" w:rsidRPr="00A200F6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28893E05" w14:textId="4B6AF8CF" w:rsidR="001D4580" w:rsidRPr="00C45123" w:rsidRDefault="001D4580" w:rsidP="00D90D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45123">
              <w:rPr>
                <w:rFonts w:hAnsi="標楷體"/>
                <w:color w:val="auto"/>
              </w:rPr>
              <w:t>【心評人員的角色與專業倫理】、【個案評估報告撰寫與實例研討】</w:t>
            </w:r>
          </w:p>
        </w:tc>
        <w:tc>
          <w:tcPr>
            <w:tcW w:w="582" w:type="pct"/>
            <w:vAlign w:val="center"/>
          </w:tcPr>
          <w:p w14:paraId="341D0761" w14:textId="10C98CDE" w:rsidR="001D4580" w:rsidRPr="0036073E" w:rsidRDefault="001D4580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14:paraId="6E4B5940" w14:textId="4CA5BDA6" w:rsidR="001D4580" w:rsidRPr="00D90D30" w:rsidRDefault="001D4580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</w:tr>
      <w:tr w:rsidR="001D4580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1D4580" w:rsidRPr="00A200F6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6518C1" w14:textId="33CE5C15" w:rsidR="001D4580" w:rsidRPr="00C45123" w:rsidRDefault="001D4580" w:rsidP="00D90D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45123">
              <w:rPr>
                <w:rFonts w:hAnsi="標楷體"/>
                <w:color w:val="auto"/>
              </w:rPr>
              <w:t>【特教相關專業人員評估與實務】、【解讀相關資料與綜合研判】</w:t>
            </w:r>
          </w:p>
        </w:tc>
        <w:tc>
          <w:tcPr>
            <w:tcW w:w="582" w:type="pct"/>
            <w:vAlign w:val="center"/>
          </w:tcPr>
          <w:p w14:paraId="497373D6" w14:textId="6EE22337" w:rsidR="001D4580" w:rsidRPr="0036073E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8/9</w:t>
            </w:r>
          </w:p>
        </w:tc>
        <w:tc>
          <w:tcPr>
            <w:tcW w:w="491" w:type="pct"/>
            <w:vAlign w:val="center"/>
          </w:tcPr>
          <w:p w14:paraId="6CB21A6F" w14:textId="222F5009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8</w:t>
            </w:r>
          </w:p>
        </w:tc>
      </w:tr>
      <w:tr w:rsidR="001D4580" w:rsidRPr="00A200F6" w14:paraId="51B0FF2C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3DA558BC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0B4A05A2" w14:textId="34E5DC4F" w:rsidR="001D4580" w:rsidRPr="00A200F6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1-4</w:t>
            </w:r>
          </w:p>
        </w:tc>
        <w:tc>
          <w:tcPr>
            <w:tcW w:w="3275" w:type="pct"/>
            <w:vAlign w:val="center"/>
          </w:tcPr>
          <w:p w14:paraId="31C6C975" w14:textId="7B44A60E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嘉義縣113年度學前教育階段特殊教育鑑定評估人員基礎培訓課程分場次計畫【特殊幼兒評估概論】與【幼兒發展評估實施】</w:t>
            </w:r>
          </w:p>
        </w:tc>
        <w:tc>
          <w:tcPr>
            <w:tcW w:w="582" w:type="pct"/>
            <w:vAlign w:val="center"/>
          </w:tcPr>
          <w:p w14:paraId="322B4A6C" w14:textId="2EAC80FB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/19-9/21</w:t>
            </w:r>
          </w:p>
        </w:tc>
        <w:tc>
          <w:tcPr>
            <w:tcW w:w="491" w:type="pct"/>
            <w:vAlign w:val="center"/>
          </w:tcPr>
          <w:p w14:paraId="41D2DE90" w14:textId="7A5B7BE4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</w:tr>
      <w:tr w:rsidR="001D4580" w:rsidRPr="00A200F6" w14:paraId="798699B1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5D7F2E8C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7329A2AC" w14:textId="1C87EC6D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1-5</w:t>
            </w:r>
          </w:p>
        </w:tc>
        <w:tc>
          <w:tcPr>
            <w:tcW w:w="3275" w:type="pct"/>
            <w:vAlign w:val="center"/>
          </w:tcPr>
          <w:p w14:paraId="1F529D51" w14:textId="13A360D9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嘉義縣113年度學前教育階段特殊教育鑑定評估人員基礎培訓課程分場次計畫【心評人員的角色與專業倫理】、【個案評估報告撰寫與實例研討】</w:t>
            </w:r>
          </w:p>
        </w:tc>
        <w:tc>
          <w:tcPr>
            <w:tcW w:w="582" w:type="pct"/>
            <w:vAlign w:val="center"/>
          </w:tcPr>
          <w:p w14:paraId="3F69F794" w14:textId="38BEF8DB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/21</w:t>
            </w:r>
          </w:p>
        </w:tc>
        <w:tc>
          <w:tcPr>
            <w:tcW w:w="491" w:type="pct"/>
            <w:vAlign w:val="center"/>
          </w:tcPr>
          <w:p w14:paraId="5F4BC9B9" w14:textId="22ACDADB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</w:tr>
      <w:tr w:rsidR="001D4580" w:rsidRPr="00A200F6" w14:paraId="1F196E11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078624D2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403F36B3" w14:textId="471039A8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1-6</w:t>
            </w:r>
          </w:p>
        </w:tc>
        <w:tc>
          <w:tcPr>
            <w:tcW w:w="3275" w:type="pct"/>
            <w:vAlign w:val="center"/>
          </w:tcPr>
          <w:p w14:paraId="54224386" w14:textId="7DC71EC0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嘉義縣113年度學前教育階段特殊教育鑑定評估人員基礎培訓課程分場次計畫【特教相關專業人員評估與實務】、【解讀相關資料與綜合研判】</w:t>
            </w:r>
          </w:p>
        </w:tc>
        <w:tc>
          <w:tcPr>
            <w:tcW w:w="582" w:type="pct"/>
            <w:vAlign w:val="center"/>
          </w:tcPr>
          <w:p w14:paraId="418544FF" w14:textId="3ACA060C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/22</w:t>
            </w:r>
          </w:p>
        </w:tc>
        <w:tc>
          <w:tcPr>
            <w:tcW w:w="491" w:type="pct"/>
            <w:vAlign w:val="center"/>
          </w:tcPr>
          <w:p w14:paraId="30B4B1E5" w14:textId="5C54D54E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7</w:t>
            </w:r>
          </w:p>
        </w:tc>
      </w:tr>
      <w:tr w:rsidR="001D4580" w:rsidRPr="00A200F6" w14:paraId="78E26E88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F7FB63F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017F6163" w14:textId="012E5E37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1-7</w:t>
            </w:r>
          </w:p>
        </w:tc>
        <w:tc>
          <w:tcPr>
            <w:tcW w:w="3275" w:type="pct"/>
            <w:vAlign w:val="center"/>
          </w:tcPr>
          <w:p w14:paraId="0EC7C5EB" w14:textId="5AF3953F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嘉義縣113年度學前教育階段特殊教育鑑定評估人員基礎培訓課程分場次計畫【評估與報告撰寫案例討論】</w:t>
            </w:r>
          </w:p>
        </w:tc>
        <w:tc>
          <w:tcPr>
            <w:tcW w:w="582" w:type="pct"/>
            <w:vAlign w:val="center"/>
          </w:tcPr>
          <w:p w14:paraId="21008FA2" w14:textId="71A30339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0/12</w:t>
            </w:r>
          </w:p>
        </w:tc>
        <w:tc>
          <w:tcPr>
            <w:tcW w:w="491" w:type="pct"/>
            <w:vAlign w:val="center"/>
          </w:tcPr>
          <w:p w14:paraId="2D92EEDD" w14:textId="3D87F1B2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1D4580" w:rsidRPr="00A200F6" w14:paraId="026FA376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524C55E7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55886E8F" w14:textId="46566C8C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1-8</w:t>
            </w:r>
          </w:p>
        </w:tc>
        <w:tc>
          <w:tcPr>
            <w:tcW w:w="3275" w:type="pct"/>
            <w:vAlign w:val="center"/>
          </w:tcPr>
          <w:p w14:paraId="6E065683" w14:textId="4DB1887F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嘉義縣114年度學前教育階段特殊教育鑑定評估人員培訓-特殊幼兒評估概論與幼兒發展評估實施</w:t>
            </w:r>
          </w:p>
        </w:tc>
        <w:tc>
          <w:tcPr>
            <w:tcW w:w="582" w:type="pct"/>
            <w:vAlign w:val="center"/>
          </w:tcPr>
          <w:p w14:paraId="0431D562" w14:textId="4D273C73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/22-1/23</w:t>
            </w:r>
          </w:p>
        </w:tc>
        <w:tc>
          <w:tcPr>
            <w:tcW w:w="491" w:type="pct"/>
            <w:vAlign w:val="center"/>
          </w:tcPr>
          <w:p w14:paraId="06D3B266" w14:textId="235003C5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</w:tr>
      <w:tr w:rsidR="001D4580" w:rsidRPr="00A200F6" w14:paraId="19862155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F6F073A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0175037B" w14:textId="599C19D1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1-9</w:t>
            </w:r>
          </w:p>
        </w:tc>
        <w:tc>
          <w:tcPr>
            <w:tcW w:w="3275" w:type="pct"/>
            <w:vAlign w:val="center"/>
          </w:tcPr>
          <w:p w14:paraId="01133D22" w14:textId="2ECE5E95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嘉義縣114年度學前教育階段特殊教育鑑定評估人員培訓-心評人員的角色與專業倫理與個案評估報告撰寫與實例研討</w:t>
            </w:r>
          </w:p>
        </w:tc>
        <w:tc>
          <w:tcPr>
            <w:tcW w:w="582" w:type="pct"/>
            <w:vAlign w:val="center"/>
          </w:tcPr>
          <w:p w14:paraId="5A1D04B6" w14:textId="3D6FE9F3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/23</w:t>
            </w:r>
          </w:p>
        </w:tc>
        <w:tc>
          <w:tcPr>
            <w:tcW w:w="491" w:type="pct"/>
            <w:vAlign w:val="center"/>
          </w:tcPr>
          <w:p w14:paraId="264AAAC5" w14:textId="4FAD68B1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</w:tr>
      <w:tr w:rsidR="001D4580" w:rsidRPr="00A200F6" w14:paraId="5AC3FAFD" w14:textId="77777777" w:rsidTr="00D90D30">
        <w:trPr>
          <w:cantSplit/>
          <w:trHeight w:val="785"/>
          <w:jc w:val="center"/>
        </w:trPr>
        <w:tc>
          <w:tcPr>
            <w:tcW w:w="234" w:type="pct"/>
            <w:vMerge/>
            <w:vAlign w:val="center"/>
          </w:tcPr>
          <w:p w14:paraId="534A7523" w14:textId="77777777" w:rsidR="001D4580" w:rsidRPr="00A200F6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A7CA637" w14:textId="348EA6BF" w:rsidR="001D4580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4B017867" w14:textId="3E0F49EE" w:rsidR="001D4580" w:rsidRPr="00C45123" w:rsidRDefault="001D4580" w:rsidP="00D90D30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C45123">
              <w:rPr>
                <w:rFonts w:hAnsi="標楷體"/>
                <w:color w:val="auto"/>
              </w:rPr>
              <w:t>嘉義縣114年度學前教育階段特殊教育鑑定評估人員培訓-特教相關專業人員評估與實務與解讀相關資料與綜合研判</w:t>
            </w:r>
          </w:p>
        </w:tc>
        <w:tc>
          <w:tcPr>
            <w:tcW w:w="582" w:type="pct"/>
            <w:vAlign w:val="center"/>
          </w:tcPr>
          <w:p w14:paraId="1274DAE4" w14:textId="4FD9D311" w:rsidR="001D458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/24</w:t>
            </w:r>
          </w:p>
        </w:tc>
        <w:tc>
          <w:tcPr>
            <w:tcW w:w="491" w:type="pct"/>
            <w:vAlign w:val="center"/>
          </w:tcPr>
          <w:p w14:paraId="27FE1DA5" w14:textId="4A963D1F" w:rsidR="001D4580" w:rsidRPr="00D90D30" w:rsidRDefault="001D4580" w:rsidP="00D9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90D30">
              <w:rPr>
                <w:rFonts w:ascii="標楷體" w:eastAsia="標楷體" w:hAnsi="標楷體" w:cs="Arial"/>
                <w:sz w:val="22"/>
                <w:szCs w:val="22"/>
              </w:rPr>
              <w:t>7</w:t>
            </w:r>
          </w:p>
        </w:tc>
      </w:tr>
      <w:tr w:rsidR="001D4580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lastRenderedPageBreak/>
              <w:t>增能</w:t>
            </w:r>
          </w:p>
        </w:tc>
        <w:tc>
          <w:tcPr>
            <w:tcW w:w="418" w:type="pct"/>
            <w:vAlign w:val="center"/>
          </w:tcPr>
          <w:p w14:paraId="43347179" w14:textId="7E45F5C5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275" w:type="pct"/>
            <w:vAlign w:val="center"/>
          </w:tcPr>
          <w:p w14:paraId="5D015614" w14:textId="26BC7219" w:rsidR="001D4580" w:rsidRPr="001D4580" w:rsidRDefault="001D4580" w:rsidP="001D458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D4580">
              <w:rPr>
                <w:rFonts w:hAnsi="標楷體" w:hint="eastAsia"/>
                <w:color w:val="auto"/>
              </w:rPr>
              <w:t>嘉義縣113年度學前特殊教育需求鑑定安置說明會研習-公幼場</w:t>
            </w:r>
          </w:p>
        </w:tc>
        <w:tc>
          <w:tcPr>
            <w:tcW w:w="582" w:type="pct"/>
            <w:vAlign w:val="center"/>
          </w:tcPr>
          <w:p w14:paraId="17501D1A" w14:textId="27A08F8A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/2</w:t>
            </w:r>
          </w:p>
        </w:tc>
        <w:tc>
          <w:tcPr>
            <w:tcW w:w="491" w:type="pct"/>
            <w:vAlign w:val="center"/>
          </w:tcPr>
          <w:p w14:paraId="5D53B2CE" w14:textId="27915E02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</w:p>
        </w:tc>
      </w:tr>
      <w:tr w:rsidR="001D4580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6B3CDCFA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</w:t>
            </w: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3275" w:type="pct"/>
            <w:vAlign w:val="center"/>
          </w:tcPr>
          <w:p w14:paraId="5A307742" w14:textId="7B0A15E4" w:rsidR="001D4580" w:rsidRPr="001D4580" w:rsidRDefault="001D4580" w:rsidP="001D458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D4580">
              <w:rPr>
                <w:rFonts w:hAnsi="標楷體" w:hint="eastAsia"/>
                <w:color w:val="auto"/>
              </w:rPr>
              <w:t>嘉義縣113年度學前特殊教育通報網線上操作研習</w:t>
            </w:r>
          </w:p>
        </w:tc>
        <w:tc>
          <w:tcPr>
            <w:tcW w:w="582" w:type="pct"/>
            <w:vAlign w:val="center"/>
          </w:tcPr>
          <w:p w14:paraId="105C17D7" w14:textId="276B93B8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/17</w:t>
            </w:r>
          </w:p>
        </w:tc>
        <w:tc>
          <w:tcPr>
            <w:tcW w:w="491" w:type="pct"/>
            <w:vAlign w:val="center"/>
          </w:tcPr>
          <w:p w14:paraId="59A3F40C" w14:textId="66613C01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</w:p>
        </w:tc>
      </w:tr>
      <w:tr w:rsidR="001D4580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3F476EAB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</w:t>
            </w: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275" w:type="pct"/>
            <w:vAlign w:val="center"/>
          </w:tcPr>
          <w:p w14:paraId="67ACAC1A" w14:textId="32A7E489" w:rsidR="001D4580" w:rsidRPr="001D4580" w:rsidRDefault="001D4580" w:rsidP="001D4580">
            <w:pPr>
              <w:widowControl/>
              <w:jc w:val="both"/>
              <w:rPr>
                <w:sz w:val="23"/>
                <w:szCs w:val="23"/>
              </w:rPr>
            </w:pPr>
            <w:r w:rsidRPr="001D4580">
              <w:rPr>
                <w:rFonts w:ascii="標楷體" w:eastAsia="標楷體" w:hAnsi="標楷體"/>
              </w:rPr>
              <w:t>嘉義縣113年度學前教育階段特殊教育鑑定評估人員增能研習培訓計畫-【幼兒智力發展相關評量】與【幼兒適應行為發展相關評量】</w:t>
            </w:r>
          </w:p>
        </w:tc>
        <w:tc>
          <w:tcPr>
            <w:tcW w:w="582" w:type="pct"/>
            <w:vAlign w:val="center"/>
          </w:tcPr>
          <w:p w14:paraId="66533DE8" w14:textId="41D85A00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/28</w:t>
            </w:r>
          </w:p>
        </w:tc>
        <w:tc>
          <w:tcPr>
            <w:tcW w:w="491" w:type="pct"/>
            <w:vAlign w:val="center"/>
          </w:tcPr>
          <w:p w14:paraId="18E8AA29" w14:textId="4E43639C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1D4580" w:rsidRPr="00A200F6" w14:paraId="121051BE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6A158535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56A43737" w14:textId="3C6D339A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-14</w:t>
            </w:r>
          </w:p>
        </w:tc>
        <w:tc>
          <w:tcPr>
            <w:tcW w:w="3275" w:type="pct"/>
            <w:vAlign w:val="center"/>
          </w:tcPr>
          <w:p w14:paraId="74E72792" w14:textId="6DF71E4E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嘉義縣113年度學前教育階段特殊教育鑑定評估人員基礎培訓課程分場次計畫-【評估與報告撰寫案例討論】</w:t>
            </w:r>
          </w:p>
        </w:tc>
        <w:tc>
          <w:tcPr>
            <w:tcW w:w="582" w:type="pct"/>
            <w:vAlign w:val="center"/>
          </w:tcPr>
          <w:p w14:paraId="62E61023" w14:textId="7BD626A1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10/12</w:t>
            </w:r>
          </w:p>
        </w:tc>
        <w:tc>
          <w:tcPr>
            <w:tcW w:w="491" w:type="pct"/>
            <w:vAlign w:val="center"/>
          </w:tcPr>
          <w:p w14:paraId="2F05F18C" w14:textId="0A5147FE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1D4580" w:rsidRPr="00A200F6" w14:paraId="37536D48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3397F274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673D15DE" w14:textId="052C0D14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-15</w:t>
            </w:r>
          </w:p>
        </w:tc>
        <w:tc>
          <w:tcPr>
            <w:tcW w:w="3275" w:type="pct"/>
            <w:vAlign w:val="center"/>
          </w:tcPr>
          <w:p w14:paraId="2D7CDBA9" w14:textId="3C527B91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嘉義縣113年度學前教育階段特殊教育鑑定評估人員增能研習培訓計畫【生態評量與實作】</w:t>
            </w:r>
          </w:p>
        </w:tc>
        <w:tc>
          <w:tcPr>
            <w:tcW w:w="582" w:type="pct"/>
            <w:vAlign w:val="center"/>
          </w:tcPr>
          <w:p w14:paraId="2A03BF75" w14:textId="792E3831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0/15-10/26</w:t>
            </w:r>
          </w:p>
        </w:tc>
        <w:tc>
          <w:tcPr>
            <w:tcW w:w="491" w:type="pct"/>
            <w:vAlign w:val="center"/>
          </w:tcPr>
          <w:p w14:paraId="6CD4B5E8" w14:textId="6B439976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</w:tr>
      <w:tr w:rsidR="001D4580" w:rsidRPr="00A200F6" w14:paraId="66F40C90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6C258A94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77423331" w14:textId="4F9CBC94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-16</w:t>
            </w:r>
          </w:p>
        </w:tc>
        <w:tc>
          <w:tcPr>
            <w:tcW w:w="3275" w:type="pct"/>
            <w:vAlign w:val="center"/>
          </w:tcPr>
          <w:p w14:paraId="41B2E080" w14:textId="435B2C70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嘉義縣113年度學前教育階段特殊教育鑑定評估「實務工作」培訓計畫</w:t>
            </w:r>
          </w:p>
        </w:tc>
        <w:tc>
          <w:tcPr>
            <w:tcW w:w="582" w:type="pct"/>
            <w:vAlign w:val="center"/>
          </w:tcPr>
          <w:p w14:paraId="065B7887" w14:textId="4ABE313E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0/18-10/26</w:t>
            </w:r>
          </w:p>
        </w:tc>
        <w:tc>
          <w:tcPr>
            <w:tcW w:w="491" w:type="pct"/>
            <w:vAlign w:val="center"/>
          </w:tcPr>
          <w:p w14:paraId="7E2B8757" w14:textId="1B633AEE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</w:tr>
      <w:tr w:rsidR="001D4580" w:rsidRPr="00A200F6" w14:paraId="49004379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6B97429C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24E35003" w14:textId="151E39B0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-17</w:t>
            </w:r>
          </w:p>
        </w:tc>
        <w:tc>
          <w:tcPr>
            <w:tcW w:w="3275" w:type="pct"/>
            <w:vAlign w:val="center"/>
          </w:tcPr>
          <w:p w14:paraId="3F8147F3" w14:textId="1BC49876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 w:hint="eastAsia"/>
              </w:rPr>
              <w:t>113學年度幼小轉銜鑑定安置研習</w:t>
            </w:r>
          </w:p>
        </w:tc>
        <w:tc>
          <w:tcPr>
            <w:tcW w:w="582" w:type="pct"/>
            <w:vAlign w:val="center"/>
          </w:tcPr>
          <w:p w14:paraId="5DB20C58" w14:textId="21A73136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1/02</w:t>
            </w:r>
          </w:p>
        </w:tc>
        <w:tc>
          <w:tcPr>
            <w:tcW w:w="491" w:type="pct"/>
            <w:vAlign w:val="center"/>
          </w:tcPr>
          <w:p w14:paraId="1290685C" w14:textId="48D88810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</w:p>
        </w:tc>
      </w:tr>
      <w:tr w:rsidR="001D4580" w:rsidRPr="00A200F6" w14:paraId="05C738CD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4DAD5F77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0F34366B" w14:textId="0D146096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-18</w:t>
            </w:r>
          </w:p>
        </w:tc>
        <w:tc>
          <w:tcPr>
            <w:tcW w:w="3275" w:type="pct"/>
            <w:vAlign w:val="center"/>
          </w:tcPr>
          <w:p w14:paraId="611866B5" w14:textId="60199D30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嘉義縣113年度學前教育階段特殊教育鑑定評估「實務工作」培訓計畫</w:t>
            </w:r>
          </w:p>
        </w:tc>
        <w:tc>
          <w:tcPr>
            <w:tcW w:w="582" w:type="pct"/>
            <w:vAlign w:val="center"/>
          </w:tcPr>
          <w:p w14:paraId="002924AB" w14:textId="368727D2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1/12</w:t>
            </w:r>
          </w:p>
        </w:tc>
        <w:tc>
          <w:tcPr>
            <w:tcW w:w="491" w:type="pct"/>
            <w:vAlign w:val="center"/>
          </w:tcPr>
          <w:p w14:paraId="457071B6" w14:textId="35E8B238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4</w:t>
            </w:r>
          </w:p>
        </w:tc>
      </w:tr>
      <w:tr w:rsidR="001D4580" w:rsidRPr="00A200F6" w14:paraId="6BD6F7E0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15FE6002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5AB5DEED" w14:textId="6CDE1419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-19</w:t>
            </w:r>
          </w:p>
        </w:tc>
        <w:tc>
          <w:tcPr>
            <w:tcW w:w="3275" w:type="pct"/>
            <w:vAlign w:val="center"/>
          </w:tcPr>
          <w:p w14:paraId="0E361EC4" w14:textId="51B02EBA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113年度學前教育階段特殊教育鑑定評估報告撰寫社群培訓</w:t>
            </w:r>
          </w:p>
        </w:tc>
        <w:tc>
          <w:tcPr>
            <w:tcW w:w="582" w:type="pct"/>
            <w:vAlign w:val="center"/>
          </w:tcPr>
          <w:p w14:paraId="4D46F18F" w14:textId="0D8AEAC2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1/12</w:t>
            </w:r>
          </w:p>
        </w:tc>
        <w:tc>
          <w:tcPr>
            <w:tcW w:w="491" w:type="pct"/>
            <w:vAlign w:val="center"/>
          </w:tcPr>
          <w:p w14:paraId="35ADE92B" w14:textId="3B09D11B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1</w:t>
            </w:r>
          </w:p>
        </w:tc>
      </w:tr>
      <w:tr w:rsidR="001D4580" w:rsidRPr="00A200F6" w14:paraId="25A9D64C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3C8921D4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73E38D77" w14:textId="55BB6991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-20</w:t>
            </w:r>
          </w:p>
        </w:tc>
        <w:tc>
          <w:tcPr>
            <w:tcW w:w="3275" w:type="pct"/>
            <w:vAlign w:val="center"/>
          </w:tcPr>
          <w:p w14:paraId="7BB70B0F" w14:textId="6EFD6BCF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學前心評個案評估督導實作與研討</w:t>
            </w:r>
          </w:p>
        </w:tc>
        <w:tc>
          <w:tcPr>
            <w:tcW w:w="582" w:type="pct"/>
            <w:vAlign w:val="center"/>
          </w:tcPr>
          <w:p w14:paraId="38302FF7" w14:textId="652D6FEC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1/13</w:t>
            </w:r>
          </w:p>
        </w:tc>
        <w:tc>
          <w:tcPr>
            <w:tcW w:w="491" w:type="pct"/>
            <w:vAlign w:val="center"/>
          </w:tcPr>
          <w:p w14:paraId="2BACF7C4" w14:textId="02A7CC95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1D4580" w:rsidRPr="00A200F6" w14:paraId="7CF2DEFB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1E3DD001" w14:textId="77777777" w:rsidR="001D4580" w:rsidRPr="00282D09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44616CD6" w14:textId="491302CF" w:rsidR="001D4580" w:rsidRPr="00A200F6" w:rsidRDefault="001D4580" w:rsidP="001D45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-21</w:t>
            </w:r>
          </w:p>
        </w:tc>
        <w:tc>
          <w:tcPr>
            <w:tcW w:w="3275" w:type="pct"/>
            <w:vAlign w:val="center"/>
          </w:tcPr>
          <w:p w14:paraId="6899299A" w14:textId="0B1DE707" w:rsidR="001D4580" w:rsidRPr="001D4580" w:rsidRDefault="001D4580" w:rsidP="001D4580">
            <w:pPr>
              <w:widowControl/>
              <w:jc w:val="both"/>
              <w:rPr>
                <w:rFonts w:ascii="標楷體" w:eastAsia="標楷體" w:hAnsi="標楷體"/>
              </w:rPr>
            </w:pPr>
            <w:r w:rsidRPr="001D4580">
              <w:rPr>
                <w:rFonts w:ascii="標楷體" w:eastAsia="標楷體" w:hAnsi="標楷體"/>
              </w:rPr>
              <w:t>113年度學前特殊教育鑑定評估報告撰寫社群講師培訓</w:t>
            </w:r>
          </w:p>
        </w:tc>
        <w:tc>
          <w:tcPr>
            <w:tcW w:w="582" w:type="pct"/>
            <w:vAlign w:val="center"/>
          </w:tcPr>
          <w:p w14:paraId="56DDED4F" w14:textId="35279B36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D4580">
              <w:rPr>
                <w:rFonts w:ascii="標楷體" w:eastAsia="標楷體" w:hAnsi="標楷體" w:cs="標楷體"/>
                <w:sz w:val="22"/>
                <w:szCs w:val="22"/>
              </w:rPr>
              <w:t>1/21</w:t>
            </w:r>
          </w:p>
        </w:tc>
        <w:tc>
          <w:tcPr>
            <w:tcW w:w="491" w:type="pct"/>
            <w:vAlign w:val="center"/>
          </w:tcPr>
          <w:p w14:paraId="1AE5CCEA" w14:textId="7A602673" w:rsidR="001D4580" w:rsidRPr="001D4580" w:rsidRDefault="001D4580" w:rsidP="001D4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D4580">
              <w:rPr>
                <w:rFonts w:ascii="標楷體" w:eastAsia="標楷體" w:hAnsi="標楷體" w:cs="Arial"/>
                <w:sz w:val="22"/>
                <w:szCs w:val="22"/>
              </w:rPr>
              <w:t>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FFFA" w14:textId="77777777" w:rsidR="005548CC" w:rsidRDefault="005548CC" w:rsidP="00D915C8">
      <w:r>
        <w:separator/>
      </w:r>
    </w:p>
  </w:endnote>
  <w:endnote w:type="continuationSeparator" w:id="0">
    <w:p w14:paraId="345B3951" w14:textId="77777777" w:rsidR="005548CC" w:rsidRDefault="005548CC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997FC" w14:textId="77777777" w:rsidR="005548CC" w:rsidRDefault="005548CC" w:rsidP="00D915C8">
      <w:r>
        <w:separator/>
      </w:r>
    </w:p>
  </w:footnote>
  <w:footnote w:type="continuationSeparator" w:id="0">
    <w:p w14:paraId="392E25D9" w14:textId="77777777" w:rsidR="005548CC" w:rsidRDefault="005548CC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73B05"/>
    <w:multiLevelType w:val="hybridMultilevel"/>
    <w:tmpl w:val="6BA03182"/>
    <w:lvl w:ilvl="0" w:tplc="E90283E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B214950"/>
    <w:multiLevelType w:val="hybridMultilevel"/>
    <w:tmpl w:val="6BA03182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136EE"/>
    <w:rsid w:val="00070204"/>
    <w:rsid w:val="001D4580"/>
    <w:rsid w:val="001E7F88"/>
    <w:rsid w:val="00282D09"/>
    <w:rsid w:val="002D0F42"/>
    <w:rsid w:val="002D4885"/>
    <w:rsid w:val="003B2898"/>
    <w:rsid w:val="00403BD4"/>
    <w:rsid w:val="004404E0"/>
    <w:rsid w:val="00444628"/>
    <w:rsid w:val="004D5025"/>
    <w:rsid w:val="005548CC"/>
    <w:rsid w:val="00557C04"/>
    <w:rsid w:val="00580D09"/>
    <w:rsid w:val="005C5630"/>
    <w:rsid w:val="006076D9"/>
    <w:rsid w:val="006730E5"/>
    <w:rsid w:val="006A1B9B"/>
    <w:rsid w:val="006D668C"/>
    <w:rsid w:val="006E4CFD"/>
    <w:rsid w:val="00796777"/>
    <w:rsid w:val="00814C60"/>
    <w:rsid w:val="008212B3"/>
    <w:rsid w:val="008C014C"/>
    <w:rsid w:val="008D2C37"/>
    <w:rsid w:val="009225F6"/>
    <w:rsid w:val="00956885"/>
    <w:rsid w:val="0098406A"/>
    <w:rsid w:val="00A23603"/>
    <w:rsid w:val="00A36B7D"/>
    <w:rsid w:val="00A455AF"/>
    <w:rsid w:val="00BB6D67"/>
    <w:rsid w:val="00C45123"/>
    <w:rsid w:val="00C67F4A"/>
    <w:rsid w:val="00D90D30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21</cp:revision>
  <dcterms:created xsi:type="dcterms:W3CDTF">2026-02-26T07:33:00Z</dcterms:created>
  <dcterms:modified xsi:type="dcterms:W3CDTF">2026-03-15T13:54:00Z</dcterms:modified>
</cp:coreProperties>
</file>