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CA" w:rsidRPr="006C019A" w:rsidRDefault="00CD37CA" w:rsidP="00CD37CA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6C019A">
        <w:rPr>
          <w:rFonts w:ascii="標楷體" w:eastAsia="標楷體" w:hAnsi="標楷體"/>
          <w:bCs/>
          <w:sz w:val="28"/>
          <w:szCs w:val="28"/>
        </w:rPr>
        <w:t>(</w:t>
      </w:r>
      <w:r w:rsidRPr="006C019A">
        <w:rPr>
          <w:rFonts w:ascii="標楷體" w:eastAsia="標楷體" w:hAnsi="標楷體" w:hint="eastAsia"/>
          <w:bCs/>
          <w:sz w:val="28"/>
          <w:szCs w:val="28"/>
        </w:rPr>
        <w:t>四</w:t>
      </w:r>
      <w:r w:rsidRPr="006C019A">
        <w:rPr>
          <w:rFonts w:ascii="標楷體" w:eastAsia="標楷體" w:hAnsi="標楷體"/>
          <w:bCs/>
          <w:sz w:val="28"/>
          <w:szCs w:val="28"/>
        </w:rPr>
        <w:t>)</w:t>
      </w:r>
      <w:r w:rsidRPr="006C019A">
        <w:rPr>
          <w:rFonts w:ascii="標楷體" w:eastAsia="標楷體" w:hAnsi="標楷體" w:hint="eastAsia"/>
          <w:bCs/>
          <w:sz w:val="28"/>
          <w:szCs w:val="28"/>
        </w:rPr>
        <w:t>學校學生申訴</w:t>
      </w:r>
      <w:r w:rsidRPr="006C019A">
        <w:rPr>
          <w:rFonts w:ascii="標楷體" w:eastAsia="標楷體" w:hAnsi="標楷體" w:hint="eastAsia"/>
          <w:sz w:val="28"/>
          <w:szCs w:val="28"/>
        </w:rPr>
        <w:t>評議</w:t>
      </w:r>
      <w:r w:rsidRPr="006C019A">
        <w:rPr>
          <w:rFonts w:ascii="標楷體" w:eastAsia="標楷體" w:hAnsi="標楷體" w:hint="eastAsia"/>
          <w:bCs/>
          <w:sz w:val="28"/>
          <w:szCs w:val="28"/>
        </w:rPr>
        <w:t>委員會設置要點範例</w:t>
      </w:r>
    </w:p>
    <w:p w:rsidR="00CD37CA" w:rsidRPr="006C019A" w:rsidRDefault="00CD37CA" w:rsidP="00CD37CA">
      <w:pPr>
        <w:spacing w:line="42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6C019A">
        <w:rPr>
          <w:rFonts w:ascii="標楷體" w:eastAsia="標楷體" w:hAnsi="標楷體" w:hint="eastAsia"/>
          <w:bCs/>
          <w:sz w:val="28"/>
          <w:szCs w:val="28"/>
        </w:rPr>
        <w:t>嘉義縣○○國民中學</w:t>
      </w:r>
      <w:r w:rsidRPr="006C019A">
        <w:rPr>
          <w:rFonts w:ascii="標楷體" w:eastAsia="標楷體" w:hint="eastAsia"/>
          <w:bCs/>
          <w:sz w:val="28"/>
          <w:szCs w:val="28"/>
        </w:rPr>
        <w:t>學生申訴評議委員會設置要點</w:t>
      </w:r>
      <w:r w:rsidRPr="006C019A">
        <w:rPr>
          <w:rFonts w:ascii="標楷體" w:eastAsia="標楷體" w:hAnsi="標楷體"/>
          <w:bCs/>
          <w:sz w:val="28"/>
          <w:szCs w:val="28"/>
        </w:rPr>
        <w:t xml:space="preserve"> (</w:t>
      </w:r>
      <w:r w:rsidRPr="006C019A">
        <w:rPr>
          <w:rFonts w:ascii="標楷體" w:eastAsia="標楷體" w:hAnsi="標楷體" w:hint="eastAsia"/>
          <w:bCs/>
          <w:sz w:val="28"/>
          <w:szCs w:val="28"/>
        </w:rPr>
        <w:t>參考</w:t>
      </w:r>
      <w:r w:rsidRPr="006C019A">
        <w:rPr>
          <w:rFonts w:ascii="標楷體" w:eastAsia="標楷體" w:hAnsi="標楷體"/>
          <w:bCs/>
          <w:sz w:val="28"/>
          <w:szCs w:val="28"/>
        </w:rPr>
        <w:t>)</w:t>
      </w:r>
    </w:p>
    <w:p w:rsidR="00CD37CA" w:rsidRPr="006C019A" w:rsidRDefault="00CD37CA" w:rsidP="00CD37CA">
      <w:pPr>
        <w:spacing w:line="420" w:lineRule="exact"/>
        <w:jc w:val="right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bCs/>
          <w:sz w:val="28"/>
          <w:szCs w:val="28"/>
        </w:rPr>
        <w:t>○</w:t>
      </w:r>
      <w:r w:rsidRPr="006C019A">
        <w:rPr>
          <w:rFonts w:ascii="標楷體" w:eastAsia="標楷體" w:hAnsi="標楷體"/>
          <w:sz w:val="28"/>
          <w:szCs w:val="28"/>
        </w:rPr>
        <w:t>/</w:t>
      </w:r>
      <w:r w:rsidRPr="006C019A">
        <w:rPr>
          <w:rFonts w:ascii="標楷體" w:eastAsia="標楷體" w:hAnsi="標楷體" w:hint="eastAsia"/>
          <w:bCs/>
          <w:sz w:val="28"/>
          <w:szCs w:val="28"/>
        </w:rPr>
        <w:t>○</w:t>
      </w:r>
      <w:r w:rsidRPr="006C019A">
        <w:rPr>
          <w:rFonts w:ascii="標楷體" w:eastAsia="標楷體" w:hAnsi="標楷體"/>
          <w:sz w:val="28"/>
          <w:szCs w:val="28"/>
        </w:rPr>
        <w:t>/</w:t>
      </w:r>
      <w:r w:rsidRPr="006C019A">
        <w:rPr>
          <w:rFonts w:ascii="標楷體" w:eastAsia="標楷體" w:hAnsi="標楷體" w:hint="eastAsia"/>
          <w:bCs/>
          <w:sz w:val="28"/>
          <w:szCs w:val="28"/>
        </w:rPr>
        <w:t>○</w:t>
      </w:r>
      <w:r w:rsidRPr="006C019A">
        <w:rPr>
          <w:rFonts w:ascii="標楷體" w:eastAsia="標楷體" w:hAnsi="標楷體" w:hint="eastAsia"/>
          <w:sz w:val="28"/>
          <w:szCs w:val="28"/>
        </w:rPr>
        <w:t>校務會議修訂通過</w:t>
      </w:r>
    </w:p>
    <w:p w:rsidR="00CD37CA" w:rsidRPr="006C019A" w:rsidRDefault="00CD37CA" w:rsidP="00CD37CA">
      <w:pPr>
        <w:widowControl/>
        <w:tabs>
          <w:tab w:val="num" w:pos="0"/>
        </w:tabs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6C019A">
        <w:rPr>
          <w:rFonts w:ascii="標楷體" w:eastAsia="標楷體" w:hAnsi="標楷體" w:hint="eastAsia"/>
          <w:bCs/>
          <w:sz w:val="28"/>
          <w:szCs w:val="28"/>
        </w:rPr>
        <w:t>壹、依據：</w:t>
      </w:r>
    </w:p>
    <w:p w:rsidR="00CD37CA" w:rsidRPr="006C019A" w:rsidRDefault="00CD37CA" w:rsidP="00CD37CA">
      <w:pPr>
        <w:widowControl/>
        <w:tabs>
          <w:tab w:val="num" w:pos="0"/>
        </w:tabs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cs="標楷體" w:hint="eastAsia"/>
          <w:kern w:val="0"/>
          <w:sz w:val="28"/>
          <w:szCs w:val="28"/>
        </w:rPr>
        <w:t>一、</w:t>
      </w:r>
      <w:r w:rsidRPr="006C019A">
        <w:rPr>
          <w:rFonts w:ascii="標楷體" w:eastAsia="標楷體" w:hAnsi="標楷體" w:hint="eastAsia"/>
          <w:sz w:val="28"/>
          <w:szCs w:val="28"/>
        </w:rPr>
        <w:t>教育基本法第十五條</w:t>
      </w:r>
    </w:p>
    <w:p w:rsidR="00CD37CA" w:rsidRPr="006C019A" w:rsidRDefault="00CD37CA" w:rsidP="00CD37CA">
      <w:pPr>
        <w:widowControl/>
        <w:tabs>
          <w:tab w:val="num" w:pos="0"/>
        </w:tabs>
        <w:spacing w:line="5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6C019A">
        <w:rPr>
          <w:rFonts w:ascii="標楷體" w:eastAsia="標楷體" w:hAnsi="標楷體" w:hint="eastAsia"/>
          <w:kern w:val="0"/>
          <w:sz w:val="28"/>
          <w:szCs w:val="28"/>
        </w:rPr>
        <w:t>二、</w:t>
      </w:r>
      <w:r w:rsidRPr="006C019A">
        <w:rPr>
          <w:rFonts w:ascii="標楷體" w:eastAsia="標楷體" w:hAnsi="標楷體" w:hint="eastAsia"/>
          <w:sz w:val="28"/>
          <w:szCs w:val="28"/>
        </w:rPr>
        <w:t>特殊教育法第二十一條</w:t>
      </w:r>
    </w:p>
    <w:p w:rsidR="00CD37CA" w:rsidRPr="006C019A" w:rsidRDefault="00CD37CA" w:rsidP="00CD37CA">
      <w:pPr>
        <w:widowControl/>
        <w:tabs>
          <w:tab w:val="num" w:pos="1080"/>
        </w:tabs>
        <w:spacing w:line="500" w:lineRule="exact"/>
        <w:ind w:left="1080" w:hanging="560"/>
        <w:rPr>
          <w:rFonts w:ascii="標楷體" w:eastAsia="標楷體" w:hAnsi="標楷體"/>
          <w:bCs/>
          <w:sz w:val="28"/>
          <w:szCs w:val="28"/>
        </w:rPr>
      </w:pPr>
      <w:r w:rsidRPr="006C019A">
        <w:rPr>
          <w:rFonts w:ascii="標楷體" w:eastAsia="標楷體" w:hAnsi="標楷體" w:hint="eastAsia"/>
          <w:kern w:val="0"/>
          <w:sz w:val="28"/>
          <w:szCs w:val="28"/>
        </w:rPr>
        <w:t>三、</w:t>
      </w:r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教育部「教師輔導與管教學生辦法注意事項」規定訂定之。</w:t>
      </w:r>
    </w:p>
    <w:p w:rsidR="00CD37CA" w:rsidRPr="006C019A" w:rsidRDefault="00CD37CA" w:rsidP="00CD37CA">
      <w:pPr>
        <w:tabs>
          <w:tab w:val="left" w:pos="720"/>
        </w:tabs>
        <w:snapToGrid w:val="0"/>
        <w:spacing w:line="50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6C019A">
        <w:rPr>
          <w:rFonts w:ascii="標楷體" w:eastAsia="標楷體" w:hAnsi="標楷體" w:hint="eastAsia"/>
          <w:kern w:val="0"/>
          <w:sz w:val="28"/>
          <w:szCs w:val="28"/>
        </w:rPr>
        <w:t>四、</w:t>
      </w:r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教育部主管高級中等以下學校處理學生申訴案件實施辦法。</w:t>
      </w:r>
    </w:p>
    <w:p w:rsidR="00CD37CA" w:rsidRPr="006C019A" w:rsidRDefault="00CD37CA" w:rsidP="00CD37CA">
      <w:pPr>
        <w:tabs>
          <w:tab w:val="left" w:pos="720"/>
        </w:tabs>
        <w:snapToGrid w:val="0"/>
        <w:spacing w:line="50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6C019A">
        <w:rPr>
          <w:rFonts w:ascii="標楷體" w:eastAsia="標楷體" w:hAnsi="標楷體" w:hint="eastAsia"/>
          <w:bCs/>
          <w:sz w:val="28"/>
          <w:szCs w:val="28"/>
        </w:rPr>
        <w:t>五、</w:t>
      </w:r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教育部</w:t>
      </w:r>
      <w:r w:rsidRPr="006C019A">
        <w:rPr>
          <w:rFonts w:ascii="標楷體" w:eastAsia="標楷體" w:hAnsi="標楷體" w:hint="eastAsia"/>
          <w:bCs/>
          <w:sz w:val="28"/>
          <w:szCs w:val="28"/>
        </w:rPr>
        <w:t>特殊教育學生申訴服務辦法</w:t>
      </w:r>
    </w:p>
    <w:p w:rsidR="00CD37CA" w:rsidRPr="006C019A" w:rsidRDefault="00CD37CA" w:rsidP="00CD37C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t>貳、目的：</w:t>
      </w:r>
      <w:r w:rsidRPr="006C019A">
        <w:rPr>
          <w:rFonts w:ascii="標楷體" w:eastAsia="標楷體" w:hAnsi="標楷體"/>
          <w:sz w:val="28"/>
          <w:szCs w:val="28"/>
        </w:rPr>
        <w:t xml:space="preserve"> </w:t>
      </w:r>
    </w:p>
    <w:p w:rsidR="00CD37CA" w:rsidRPr="006C019A" w:rsidRDefault="00CD37CA" w:rsidP="00CD37C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t>一、培養學生理性解決問題之態度，建立學生申訴制度。</w:t>
      </w:r>
      <w:r w:rsidRPr="006C019A">
        <w:rPr>
          <w:rFonts w:ascii="標楷體" w:eastAsia="標楷體" w:hAnsi="標楷體"/>
          <w:sz w:val="28"/>
          <w:szCs w:val="28"/>
        </w:rPr>
        <w:t xml:space="preserve"> </w:t>
      </w:r>
    </w:p>
    <w:p w:rsidR="00CD37CA" w:rsidRPr="006C019A" w:rsidRDefault="00CD37CA" w:rsidP="00CD37CA">
      <w:pPr>
        <w:spacing w:line="50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t>二、</w:t>
      </w:r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保障學生之學習權、受教育權、身體自主權及人格發展權，增進校園和諧。</w:t>
      </w:r>
    </w:p>
    <w:p w:rsidR="00CD37CA" w:rsidRPr="006C019A" w:rsidRDefault="00CD37CA" w:rsidP="00CD37C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t>參、組織：</w:t>
      </w:r>
      <w:r w:rsidRPr="006C019A">
        <w:rPr>
          <w:rFonts w:ascii="標楷體" w:eastAsia="標楷體" w:hAnsi="標楷體"/>
          <w:sz w:val="28"/>
          <w:szCs w:val="28"/>
        </w:rPr>
        <w:t xml:space="preserve"> </w:t>
      </w:r>
    </w:p>
    <w:p w:rsidR="00CD37CA" w:rsidRPr="006C019A" w:rsidRDefault="00CD37CA" w:rsidP="00CD37CA">
      <w:pPr>
        <w:spacing w:line="500" w:lineRule="exact"/>
        <w:ind w:leftChars="232" w:left="557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t>本校</w:t>
      </w:r>
      <w:r w:rsidRPr="006C019A">
        <w:rPr>
          <w:rFonts w:ascii="標楷體" w:eastAsia="標楷體" w:hAnsi="標楷體" w:hint="eastAsia"/>
          <w:bCs/>
          <w:sz w:val="28"/>
          <w:szCs w:val="28"/>
        </w:rPr>
        <w:t>學生申訴評議委員</w:t>
      </w:r>
      <w:r w:rsidRPr="006C019A">
        <w:rPr>
          <w:rFonts w:ascii="標楷體" w:eastAsia="標楷體" w:hAnsi="標楷體" w:hint="eastAsia"/>
          <w:sz w:val="28"/>
          <w:szCs w:val="28"/>
        </w:rPr>
        <w:t>會（以下簡稱申評會），置委員七人至十五人，</w:t>
      </w:r>
      <w:proofErr w:type="gramStart"/>
      <w:r w:rsidRPr="006C019A">
        <w:rPr>
          <w:rFonts w:ascii="標楷體" w:eastAsia="標楷體" w:hAnsi="標楷體" w:hint="eastAsia"/>
          <w:sz w:val="28"/>
          <w:szCs w:val="28"/>
        </w:rPr>
        <w:t>均為無</w:t>
      </w:r>
      <w:proofErr w:type="gramEnd"/>
      <w:r w:rsidRPr="006C019A">
        <w:rPr>
          <w:rFonts w:ascii="標楷體" w:eastAsia="標楷體" w:hAnsi="標楷體" w:hint="eastAsia"/>
          <w:sz w:val="28"/>
          <w:szCs w:val="28"/>
        </w:rPr>
        <w:t>給職，其中</w:t>
      </w:r>
      <w:proofErr w:type="gramStart"/>
      <w:r w:rsidRPr="006C019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C019A">
        <w:rPr>
          <w:rFonts w:ascii="標楷體" w:eastAsia="標楷體" w:hAnsi="標楷體" w:hint="eastAsia"/>
          <w:sz w:val="28"/>
          <w:szCs w:val="28"/>
        </w:rPr>
        <w:t>人為召集人，由校長兼任；下設執行秘書及幹事各一人（不參與申訴評議）；其他委員由校長就下列人員</w:t>
      </w:r>
      <w:proofErr w:type="gramStart"/>
      <w:r w:rsidRPr="006C019A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6C019A">
        <w:rPr>
          <w:rFonts w:ascii="標楷體" w:eastAsia="標楷體" w:hAnsi="標楷體" w:hint="eastAsia"/>
          <w:sz w:val="28"/>
          <w:szCs w:val="28"/>
        </w:rPr>
        <w:t>聘之：</w:t>
      </w:r>
    </w:p>
    <w:p w:rsidR="00CD37CA" w:rsidRPr="006C019A" w:rsidRDefault="00CD37CA" w:rsidP="00CD37C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/>
          <w:sz w:val="28"/>
          <w:szCs w:val="28"/>
        </w:rPr>
        <w:t xml:space="preserve">    </w:t>
      </w:r>
      <w:r w:rsidRPr="006C019A">
        <w:rPr>
          <w:rFonts w:ascii="標楷體" w:eastAsia="標楷體" w:hAnsi="標楷體" w:hint="eastAsia"/>
          <w:sz w:val="28"/>
          <w:szCs w:val="28"/>
        </w:rPr>
        <w:t>一、行政人員代表</w:t>
      </w:r>
    </w:p>
    <w:p w:rsidR="00CD37CA" w:rsidRPr="006C019A" w:rsidRDefault="00CD37CA" w:rsidP="00CD37C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/>
          <w:sz w:val="28"/>
          <w:szCs w:val="28"/>
        </w:rPr>
        <w:t xml:space="preserve">    </w:t>
      </w:r>
      <w:r w:rsidRPr="006C019A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Pr="006C019A">
        <w:rPr>
          <w:rFonts w:ascii="標楷體" w:eastAsia="標楷體" w:hAnsi="標楷體" w:hint="eastAsia"/>
          <w:sz w:val="28"/>
          <w:szCs w:val="28"/>
        </w:rPr>
        <w:t>未兼行政</w:t>
      </w:r>
      <w:proofErr w:type="gramEnd"/>
      <w:r w:rsidRPr="006C019A">
        <w:rPr>
          <w:rFonts w:ascii="標楷體" w:eastAsia="標楷體" w:hAnsi="標楷體" w:hint="eastAsia"/>
          <w:sz w:val="28"/>
          <w:szCs w:val="28"/>
        </w:rPr>
        <w:t>職務之教師代表</w:t>
      </w:r>
    </w:p>
    <w:p w:rsidR="00CD37CA" w:rsidRPr="006C019A" w:rsidRDefault="00CD37CA" w:rsidP="00CD37C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/>
          <w:sz w:val="28"/>
          <w:szCs w:val="28"/>
        </w:rPr>
        <w:t xml:space="preserve">    </w:t>
      </w:r>
      <w:r w:rsidRPr="006C019A">
        <w:rPr>
          <w:rFonts w:ascii="標楷體" w:eastAsia="標楷體" w:hAnsi="標楷體" w:hint="eastAsia"/>
          <w:sz w:val="28"/>
          <w:szCs w:val="28"/>
        </w:rPr>
        <w:t>三、家長會代表</w:t>
      </w:r>
    </w:p>
    <w:p w:rsidR="00CD37CA" w:rsidRPr="006C019A" w:rsidRDefault="00CD37CA" w:rsidP="00CD37C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/>
          <w:sz w:val="28"/>
          <w:szCs w:val="28"/>
        </w:rPr>
        <w:t xml:space="preserve">    </w:t>
      </w:r>
      <w:r w:rsidRPr="006C019A">
        <w:rPr>
          <w:rFonts w:ascii="標楷體" w:eastAsia="標楷體" w:hAnsi="標楷體" w:hint="eastAsia"/>
          <w:sz w:val="28"/>
          <w:szCs w:val="28"/>
        </w:rPr>
        <w:t>四、法律、心理或輔導等領域之專家學者</w:t>
      </w:r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或社會公正人士</w:t>
      </w:r>
      <w:r w:rsidRPr="006C019A">
        <w:rPr>
          <w:rFonts w:ascii="標楷體" w:eastAsia="標楷體" w:hAnsi="標楷體" w:hint="eastAsia"/>
          <w:sz w:val="28"/>
          <w:szCs w:val="28"/>
        </w:rPr>
        <w:t>。</w:t>
      </w:r>
    </w:p>
    <w:p w:rsidR="00CD37CA" w:rsidRPr="006C019A" w:rsidRDefault="00CD37CA" w:rsidP="00CD37CA">
      <w:pPr>
        <w:autoSpaceDE w:val="0"/>
        <w:autoSpaceDN w:val="0"/>
        <w:adjustRightInd w:val="0"/>
        <w:spacing w:line="500" w:lineRule="exact"/>
        <w:ind w:left="1120" w:hangingChars="400" w:hanging="11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C019A">
        <w:rPr>
          <w:rFonts w:ascii="標楷體" w:eastAsia="標楷體" w:hAnsi="標楷體"/>
          <w:sz w:val="28"/>
          <w:szCs w:val="28"/>
        </w:rPr>
        <w:t xml:space="preserve">    </w:t>
      </w:r>
      <w:r w:rsidRPr="006C019A">
        <w:rPr>
          <w:rFonts w:ascii="標楷體" w:eastAsia="標楷體" w:hAnsi="標楷體" w:hint="eastAsia"/>
          <w:sz w:val="28"/>
          <w:szCs w:val="28"/>
        </w:rPr>
        <w:t>五、</w:t>
      </w:r>
      <w:r w:rsidRPr="006C019A">
        <w:rPr>
          <w:rFonts w:ascii="標楷體" w:eastAsia="標楷體" w:hAnsi="標楷體" w:cs="DFKaiShu-SB-Estd-BF" w:hint="eastAsia"/>
          <w:kern w:val="0"/>
          <w:sz w:val="28"/>
          <w:szCs w:val="28"/>
        </w:rPr>
        <w:t>特殊教育學者專家、特殊教育家長團體代表或其他特殊教育專業人員。</w:t>
      </w:r>
    </w:p>
    <w:p w:rsidR="00CD37CA" w:rsidRPr="006C019A" w:rsidRDefault="00CD37CA" w:rsidP="00CD37CA">
      <w:pPr>
        <w:pStyle w:val="a9"/>
        <w:spacing w:line="500" w:lineRule="exact"/>
        <w:ind w:leftChars="240" w:left="582" w:hangingChars="2" w:hanging="6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t>本會委員任期一年，期滿得續聘之。委員因故出缺時得另行</w:t>
      </w:r>
      <w:proofErr w:type="gramStart"/>
      <w:r w:rsidRPr="006C019A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6C019A">
        <w:rPr>
          <w:rFonts w:ascii="標楷體" w:eastAsia="標楷體" w:hAnsi="標楷體" w:hint="eastAsia"/>
          <w:sz w:val="28"/>
          <w:szCs w:val="28"/>
        </w:rPr>
        <w:t>聘之，其任期至原任期屆滿之日止。</w:t>
      </w:r>
    </w:p>
    <w:p w:rsidR="00CD37CA" w:rsidRPr="006C019A" w:rsidRDefault="00CD37CA" w:rsidP="00CD37CA">
      <w:pPr>
        <w:widowControl/>
        <w:snapToGrid w:val="0"/>
        <w:spacing w:line="500" w:lineRule="exact"/>
        <w:ind w:leftChars="-6" w:left="560" w:hangingChars="205" w:hanging="574"/>
        <w:rPr>
          <w:rFonts w:ascii="標楷體" w:eastAsia="標楷體" w:hAnsi="標楷體" w:cs="新細明體"/>
          <w:kern w:val="0"/>
          <w:sz w:val="28"/>
          <w:szCs w:val="28"/>
        </w:rPr>
      </w:pPr>
      <w:r w:rsidRPr="006C019A">
        <w:rPr>
          <w:rFonts w:ascii="標楷體" w:eastAsia="標楷體" w:hAnsi="標楷體"/>
          <w:sz w:val="28"/>
          <w:szCs w:val="28"/>
        </w:rPr>
        <w:t xml:space="preserve">    </w:t>
      </w:r>
      <w:r w:rsidRPr="006C019A">
        <w:rPr>
          <w:rFonts w:ascii="標楷體" w:eastAsia="標楷體" w:hAnsi="標楷體" w:hint="eastAsia"/>
          <w:sz w:val="28"/>
          <w:szCs w:val="28"/>
        </w:rPr>
        <w:t>未兼任行政職務之教師代表不得少於</w:t>
      </w:r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委員總額二分之一，且任</w:t>
      </w:r>
      <w:proofErr w:type="gramStart"/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性別委員應占委員總數三分之一以上。</w:t>
      </w:r>
    </w:p>
    <w:p w:rsidR="00CD37CA" w:rsidRPr="006C019A" w:rsidRDefault="00CD37CA" w:rsidP="00CD37C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 w:rsidRPr="006C019A">
        <w:rPr>
          <w:rFonts w:ascii="標楷體" w:eastAsia="標楷體" w:hAnsi="標楷體" w:hint="eastAsia"/>
          <w:sz w:val="28"/>
          <w:szCs w:val="28"/>
        </w:rPr>
        <w:t>學校學生獎懲委員會之委員，不得兼任本會之委員。</w:t>
      </w:r>
    </w:p>
    <w:p w:rsidR="00CD37CA" w:rsidRPr="006C019A" w:rsidRDefault="00CD37CA" w:rsidP="00CD37CA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/>
          <w:sz w:val="28"/>
          <w:szCs w:val="28"/>
        </w:rPr>
        <w:t xml:space="preserve">    </w:t>
      </w:r>
      <w:r w:rsidRPr="006C019A">
        <w:rPr>
          <w:rFonts w:ascii="標楷體" w:eastAsia="標楷體" w:hAnsi="標楷體" w:hint="eastAsia"/>
          <w:sz w:val="28"/>
          <w:szCs w:val="28"/>
        </w:rPr>
        <w:t>本會視任務需要不定期召開會議，由召集人召集並為主席；召集人因故不能出席時，由召集人指定委員一人代理之。</w:t>
      </w:r>
    </w:p>
    <w:p w:rsidR="00CD37CA" w:rsidRPr="006C019A" w:rsidRDefault="00CD37CA" w:rsidP="00CD37C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t>肆、申訴要件：</w:t>
      </w:r>
    </w:p>
    <w:p w:rsidR="00CD37CA" w:rsidRPr="006C019A" w:rsidRDefault="00CD37CA" w:rsidP="00CD37CA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/>
          <w:sz w:val="28"/>
          <w:szCs w:val="28"/>
        </w:rPr>
        <w:t xml:space="preserve">    </w:t>
      </w:r>
      <w:r w:rsidRPr="006C019A">
        <w:rPr>
          <w:rFonts w:ascii="標楷體" w:eastAsia="標楷體" w:hAnsi="標楷體" w:hint="eastAsia"/>
          <w:sz w:val="28"/>
          <w:szCs w:val="28"/>
        </w:rPr>
        <w:t>符合下列情況要件者，得由學生之父母或監護人書面向本校「申評會」提出。</w:t>
      </w:r>
      <w:r w:rsidRPr="006C019A">
        <w:rPr>
          <w:rFonts w:ascii="標楷體" w:eastAsia="標楷體" w:hAnsi="標楷體"/>
          <w:sz w:val="28"/>
          <w:szCs w:val="28"/>
        </w:rPr>
        <w:t xml:space="preserve"> </w:t>
      </w:r>
    </w:p>
    <w:p w:rsidR="00CD37CA" w:rsidRPr="006C019A" w:rsidRDefault="00CD37CA" w:rsidP="00CD37CA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t>一、具學生身份之在學學生者。</w:t>
      </w:r>
    </w:p>
    <w:p w:rsidR="00CD37CA" w:rsidRPr="006C019A" w:rsidRDefault="00CD37CA" w:rsidP="00CD37C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t>二、學校對其所為之懲罰行為或行政處分，損及其學習</w:t>
      </w:r>
      <w:r w:rsidRPr="006C019A">
        <w:rPr>
          <w:rFonts w:ascii="標楷體" w:eastAsia="標楷體" w:hAnsi="標楷體" w:hint="eastAsia"/>
          <w:sz w:val="28"/>
        </w:rPr>
        <w:t>權益</w:t>
      </w:r>
      <w:r w:rsidRPr="006C019A">
        <w:rPr>
          <w:rFonts w:ascii="標楷體" w:eastAsia="標楷體" w:hAnsi="標楷體" w:hint="eastAsia"/>
          <w:sz w:val="28"/>
          <w:szCs w:val="28"/>
        </w:rPr>
        <w:t>者。</w:t>
      </w:r>
      <w:r w:rsidRPr="006C019A">
        <w:rPr>
          <w:rFonts w:ascii="標楷體" w:eastAsia="標楷體" w:hAnsi="標楷體"/>
          <w:sz w:val="28"/>
          <w:szCs w:val="28"/>
        </w:rPr>
        <w:t xml:space="preserve"> </w:t>
      </w:r>
    </w:p>
    <w:p w:rsidR="00CD37CA" w:rsidRPr="006C019A" w:rsidRDefault="00CD37CA" w:rsidP="00CD37C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t>三、經正常行政程序處理仍無法解決者。</w:t>
      </w:r>
      <w:r w:rsidRPr="006C019A">
        <w:rPr>
          <w:rFonts w:ascii="標楷體" w:eastAsia="標楷體" w:hAnsi="標楷體"/>
          <w:sz w:val="28"/>
          <w:szCs w:val="28"/>
        </w:rPr>
        <w:t xml:space="preserve"> </w:t>
      </w:r>
    </w:p>
    <w:p w:rsidR="00CD37CA" w:rsidRPr="006C019A" w:rsidRDefault="00CD37CA" w:rsidP="00CD37C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t>伍、申訴方式：</w:t>
      </w:r>
      <w:r w:rsidRPr="006C019A">
        <w:rPr>
          <w:rFonts w:ascii="標楷體" w:eastAsia="標楷體" w:hAnsi="標楷體"/>
          <w:sz w:val="28"/>
          <w:szCs w:val="28"/>
        </w:rPr>
        <w:t xml:space="preserve"> </w:t>
      </w:r>
    </w:p>
    <w:p w:rsidR="00CD37CA" w:rsidRPr="006C019A" w:rsidRDefault="00CD37CA" w:rsidP="00CD37CA">
      <w:pPr>
        <w:widowControl/>
        <w:spacing w:line="500" w:lineRule="exact"/>
        <w:ind w:leftChars="42" w:left="938" w:hangingChars="299" w:hanging="83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C019A">
        <w:rPr>
          <w:rFonts w:ascii="標楷體" w:eastAsia="標楷體" w:hAnsi="標楷體" w:cs="新細明體"/>
          <w:kern w:val="0"/>
          <w:sz w:val="28"/>
          <w:szCs w:val="28"/>
        </w:rPr>
        <w:t xml:space="preserve">   </w:t>
      </w:r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6C019A">
        <w:rPr>
          <w:rFonts w:ascii="標楷體" w:eastAsia="標楷體" w:hAnsi="標楷體" w:hint="eastAsia"/>
          <w:sz w:val="28"/>
          <w:szCs w:val="28"/>
        </w:rPr>
        <w:t>、</w:t>
      </w:r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申訴之提起應於學生認為學校所為之懲處或其他行政處分致</w:t>
      </w:r>
      <w:r w:rsidRPr="006C019A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使其權益遭受侵害時之次日起二十日內向學生申評會提出。</w:t>
      </w:r>
    </w:p>
    <w:p w:rsidR="00CD37CA" w:rsidRPr="006C019A" w:rsidRDefault="00CD37CA" w:rsidP="00CD37CA">
      <w:pPr>
        <w:widowControl/>
        <w:spacing w:line="500" w:lineRule="exact"/>
        <w:ind w:leftChars="42" w:left="938" w:hangingChars="299" w:hanging="83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C019A">
        <w:rPr>
          <w:rFonts w:ascii="標楷體" w:eastAsia="標楷體" w:hAnsi="標楷體" w:cs="新細明體"/>
          <w:kern w:val="0"/>
          <w:sz w:val="28"/>
          <w:szCs w:val="28"/>
        </w:rPr>
        <w:t xml:space="preserve">   </w:t>
      </w:r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6C019A">
        <w:rPr>
          <w:rFonts w:ascii="標楷體" w:eastAsia="標楷體" w:hAnsi="標楷體" w:hint="eastAsia"/>
          <w:sz w:val="28"/>
          <w:szCs w:val="28"/>
        </w:rPr>
        <w:t>、</w:t>
      </w:r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學校對學生之處分或措施，應於通知書上</w:t>
      </w:r>
      <w:proofErr w:type="gramStart"/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附記如有</w:t>
      </w:r>
      <w:proofErr w:type="gramEnd"/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不服，得</w:t>
      </w:r>
      <w:r w:rsidRPr="006C019A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於通知書送達之次日起二十日內，向申評會提起申訴。</w:t>
      </w:r>
    </w:p>
    <w:p w:rsidR="00CD37CA" w:rsidRPr="006C019A" w:rsidRDefault="00CD37CA" w:rsidP="00CD37CA">
      <w:pPr>
        <w:widowControl/>
        <w:spacing w:line="500" w:lineRule="exact"/>
        <w:ind w:leftChars="42" w:left="938" w:hangingChars="299" w:hanging="837"/>
        <w:rPr>
          <w:rFonts w:ascii="標楷體" w:eastAsia="標楷體" w:hAnsi="標楷體"/>
          <w:kern w:val="0"/>
          <w:sz w:val="28"/>
          <w:szCs w:val="28"/>
        </w:rPr>
      </w:pPr>
      <w:r w:rsidRPr="006C019A">
        <w:rPr>
          <w:rFonts w:ascii="標楷體" w:eastAsia="標楷體" w:hAnsi="標楷體" w:cs="新細明體"/>
          <w:kern w:val="0"/>
          <w:sz w:val="28"/>
          <w:szCs w:val="28"/>
        </w:rPr>
        <w:t xml:space="preserve">   </w:t>
      </w:r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6C019A">
        <w:rPr>
          <w:rFonts w:ascii="標楷體" w:eastAsia="標楷體" w:hAnsi="標楷體" w:hint="eastAsia"/>
          <w:sz w:val="28"/>
          <w:szCs w:val="28"/>
        </w:rPr>
        <w:t>、</w:t>
      </w:r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申評會對於逾期之申訴案件，不予受理。但申訴人因不可抗力或不可歸責於己</w:t>
      </w:r>
      <w:proofErr w:type="gramStart"/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proofErr w:type="gramEnd"/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事由並提出具體證明者，不在此限。</w:t>
      </w:r>
    </w:p>
    <w:p w:rsidR="00CD37CA" w:rsidRPr="006C019A" w:rsidRDefault="00CD37CA" w:rsidP="00CD37CA">
      <w:pPr>
        <w:widowControl/>
        <w:spacing w:line="500" w:lineRule="exact"/>
        <w:ind w:leftChars="42" w:left="938" w:hangingChars="299" w:hanging="837"/>
        <w:rPr>
          <w:rFonts w:ascii="標楷體" w:eastAsia="標楷體" w:hAnsi="標楷體"/>
          <w:kern w:val="0"/>
          <w:sz w:val="28"/>
          <w:szCs w:val="28"/>
        </w:rPr>
      </w:pPr>
      <w:r w:rsidRPr="006C019A">
        <w:rPr>
          <w:rFonts w:ascii="標楷體" w:eastAsia="標楷體" w:hAnsi="標楷體" w:cs="新細明體"/>
          <w:kern w:val="0"/>
          <w:sz w:val="28"/>
          <w:szCs w:val="28"/>
        </w:rPr>
        <w:t xml:space="preserve">   </w:t>
      </w:r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6C019A">
        <w:rPr>
          <w:rFonts w:ascii="標楷體" w:eastAsia="標楷體" w:hAnsi="標楷體" w:hint="eastAsia"/>
          <w:sz w:val="28"/>
          <w:szCs w:val="28"/>
        </w:rPr>
        <w:t>、</w:t>
      </w:r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學生向學校提起申訴，同一案件以一次為限。申訴人於學生申評會未作成評議決定書前，得撤回申訴，申訴一經撤回不得就同一案件再提起申訴。</w:t>
      </w:r>
    </w:p>
    <w:p w:rsidR="00CD37CA" w:rsidRPr="006C019A" w:rsidRDefault="00CD37CA" w:rsidP="00CD37CA">
      <w:pPr>
        <w:widowControl/>
        <w:spacing w:line="500" w:lineRule="exact"/>
        <w:ind w:leftChars="42" w:left="938" w:hangingChars="299" w:hanging="837"/>
        <w:jc w:val="both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cs="新細明體"/>
          <w:kern w:val="0"/>
          <w:sz w:val="28"/>
          <w:szCs w:val="28"/>
        </w:rPr>
        <w:t xml:space="preserve">   </w:t>
      </w:r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6C019A">
        <w:rPr>
          <w:rFonts w:ascii="標楷體" w:eastAsia="標楷體" w:hAnsi="標楷體" w:hint="eastAsia"/>
          <w:sz w:val="28"/>
          <w:szCs w:val="28"/>
        </w:rPr>
        <w:t>、</w:t>
      </w:r>
      <w:r w:rsidRPr="006C019A">
        <w:rPr>
          <w:rFonts w:ascii="標楷體" w:eastAsia="標楷體" w:hAnsi="標楷體" w:cs="新細明體" w:hint="eastAsia"/>
          <w:kern w:val="0"/>
          <w:sz w:val="28"/>
          <w:szCs w:val="28"/>
        </w:rPr>
        <w:t>評議決定書應包括主文、事實、理由等內容，不受理之申訴案件亦應做成評議書，明列主文和理由。</w:t>
      </w:r>
    </w:p>
    <w:p w:rsidR="00CD37CA" w:rsidRPr="006C019A" w:rsidRDefault="00CD37CA" w:rsidP="00CD37C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t>陸、評議原則：</w:t>
      </w:r>
      <w:r w:rsidRPr="006C019A">
        <w:rPr>
          <w:rFonts w:ascii="標楷體" w:eastAsia="標楷體" w:hAnsi="標楷體"/>
          <w:sz w:val="28"/>
          <w:szCs w:val="28"/>
        </w:rPr>
        <w:t xml:space="preserve"> </w:t>
      </w:r>
    </w:p>
    <w:p w:rsidR="00CD37CA" w:rsidRPr="006C019A" w:rsidRDefault="00CD37CA" w:rsidP="00CD37CA">
      <w:pPr>
        <w:spacing w:line="50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t>一、申評會對於逾越期限之申訴案件，得不予受理，惟有充分理由並提出具體證明者，不在此限。</w:t>
      </w:r>
      <w:r w:rsidRPr="006C019A">
        <w:rPr>
          <w:rFonts w:ascii="標楷體" w:eastAsia="標楷體" w:hAnsi="標楷體"/>
          <w:sz w:val="28"/>
          <w:szCs w:val="28"/>
        </w:rPr>
        <w:t xml:space="preserve"> </w:t>
      </w:r>
    </w:p>
    <w:p w:rsidR="00CD37CA" w:rsidRPr="006C019A" w:rsidRDefault="00CD37CA" w:rsidP="00CD37CA">
      <w:pPr>
        <w:spacing w:line="50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t>二、申評會就書面資料審議學生申訴案件為原則，會議之舉行以不公開為原則。必要時得通知申訴人，或其他關係人到會說明，另申訴人（或其父母、監護人）亦得要求到會說明。</w:t>
      </w:r>
    </w:p>
    <w:p w:rsidR="00CD37CA" w:rsidRPr="006C019A" w:rsidRDefault="00CD37CA" w:rsidP="00CD37CA">
      <w:pPr>
        <w:spacing w:line="50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lastRenderedPageBreak/>
        <w:t>三、申評會之評議、表決及其他委員個別意見，應對外嚴守秘密，涉及學生隱私之申訴案件與申訴人之基本資料均應予以保密。</w:t>
      </w:r>
      <w:r w:rsidRPr="006C019A">
        <w:rPr>
          <w:rFonts w:ascii="標楷體" w:eastAsia="標楷體" w:hAnsi="標楷體"/>
          <w:sz w:val="28"/>
          <w:szCs w:val="28"/>
        </w:rPr>
        <w:t xml:space="preserve"> </w:t>
      </w:r>
    </w:p>
    <w:p w:rsidR="00CD37CA" w:rsidRPr="006C019A" w:rsidRDefault="00CD37CA" w:rsidP="00CD37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CD37CA" w:rsidRPr="006C019A" w:rsidRDefault="00CD37CA" w:rsidP="00CD37CA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C019A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6C019A">
        <w:rPr>
          <w:rFonts w:ascii="標楷體" w:eastAsia="標楷體" w:hAnsi="標楷體" w:hint="eastAsia"/>
          <w:sz w:val="28"/>
          <w:szCs w:val="28"/>
        </w:rPr>
        <w:t>、評議效力：</w:t>
      </w:r>
      <w:r w:rsidRPr="006C019A">
        <w:rPr>
          <w:rFonts w:ascii="標楷體" w:eastAsia="標楷體" w:hAnsi="標楷體"/>
          <w:sz w:val="28"/>
          <w:szCs w:val="28"/>
        </w:rPr>
        <w:t xml:space="preserve"> </w:t>
      </w:r>
    </w:p>
    <w:p w:rsidR="00CD37CA" w:rsidRPr="006C019A" w:rsidRDefault="00CD37CA" w:rsidP="00CD37CA">
      <w:pPr>
        <w:spacing w:line="50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t>一、申評會開會應有委員三分之二以上出席，評議會之決議應有出席委員二分之一以上同意始得作成決議。</w:t>
      </w:r>
      <w:r w:rsidRPr="006C019A">
        <w:rPr>
          <w:rFonts w:ascii="標楷體" w:eastAsia="標楷體" w:hAnsi="標楷體"/>
          <w:sz w:val="28"/>
          <w:szCs w:val="28"/>
        </w:rPr>
        <w:t xml:space="preserve"> </w:t>
      </w:r>
    </w:p>
    <w:p w:rsidR="00CD37CA" w:rsidRPr="006C019A" w:rsidRDefault="00CD37CA" w:rsidP="00CD37CA">
      <w:pPr>
        <w:spacing w:line="50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t>二、本會委員應親自出席本會會議及參與表決，不得代理。本會委員於任期中無故缺席達二次或因故無法執行職務者，得由校長解除其委員職務，並依第叁點規定補聘之。</w:t>
      </w:r>
    </w:p>
    <w:p w:rsidR="00CD37CA" w:rsidRPr="006C019A" w:rsidRDefault="00CD37CA" w:rsidP="00CD37CA">
      <w:pPr>
        <w:spacing w:line="50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t>三、申評會應對申訴案件提出討論及評議，經決議之評議書應由申評會之主席簽署。</w:t>
      </w:r>
    </w:p>
    <w:p w:rsidR="00CD37CA" w:rsidRPr="006C019A" w:rsidRDefault="00CD37CA" w:rsidP="00CD37CA">
      <w:pPr>
        <w:spacing w:line="50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t>四、申評會作成評議決定書，應即以學校名義交由申訴人簽收或由郵政機關以雙掛號送達申訴人，其無正當理由</w:t>
      </w:r>
      <w:proofErr w:type="gramStart"/>
      <w:r w:rsidRPr="006C019A">
        <w:rPr>
          <w:rFonts w:ascii="標楷體" w:eastAsia="標楷體" w:hAnsi="標楷體" w:hint="eastAsia"/>
          <w:sz w:val="28"/>
          <w:szCs w:val="28"/>
        </w:rPr>
        <w:t>拒絕收領時</w:t>
      </w:r>
      <w:proofErr w:type="gramEnd"/>
      <w:r w:rsidRPr="006C019A">
        <w:rPr>
          <w:rFonts w:ascii="標楷體" w:eastAsia="標楷體" w:hAnsi="標楷體" w:hint="eastAsia"/>
          <w:sz w:val="28"/>
          <w:szCs w:val="28"/>
        </w:rPr>
        <w:t>，得將評議決定書留置於應送達處所或寄存於送達地之郵政機關，以為送達。</w:t>
      </w:r>
    </w:p>
    <w:p w:rsidR="00CD37CA" w:rsidRPr="006C019A" w:rsidRDefault="00CD37CA" w:rsidP="00CD37C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t>捌、迴避原則：</w:t>
      </w:r>
    </w:p>
    <w:p w:rsidR="00CD37CA" w:rsidRPr="006C019A" w:rsidRDefault="00CD37CA" w:rsidP="00CD37CA">
      <w:pPr>
        <w:spacing w:line="50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t>一、本會委員為申訴案學生四親等內之血親、三親等內之姻親或對申訴案件有其他利害關係者，應自行迴避。</w:t>
      </w:r>
    </w:p>
    <w:p w:rsidR="00CD37CA" w:rsidRPr="006C019A" w:rsidRDefault="00CD37CA" w:rsidP="00CD37CA">
      <w:pPr>
        <w:spacing w:line="50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t>二、本會委員有前項應自行迴避之事由而</w:t>
      </w:r>
      <w:proofErr w:type="gramStart"/>
      <w:r w:rsidRPr="006C019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C019A">
        <w:rPr>
          <w:rFonts w:ascii="標楷體" w:eastAsia="標楷體" w:hAnsi="標楷體" w:hint="eastAsia"/>
          <w:sz w:val="28"/>
          <w:szCs w:val="28"/>
        </w:rPr>
        <w:t>自行迴避或有具體事實足認其執行職務有偏頗之虞者，申訴</w:t>
      </w:r>
      <w:proofErr w:type="gramStart"/>
      <w:r w:rsidRPr="006C019A">
        <w:rPr>
          <w:rFonts w:ascii="標楷體" w:eastAsia="標楷體" w:hAnsi="標楷體" w:hint="eastAsia"/>
          <w:sz w:val="28"/>
          <w:szCs w:val="28"/>
        </w:rPr>
        <w:t>人得舉其</w:t>
      </w:r>
      <w:proofErr w:type="gramEnd"/>
      <w:r w:rsidRPr="006C019A">
        <w:rPr>
          <w:rFonts w:ascii="標楷體" w:eastAsia="標楷體" w:hAnsi="標楷體" w:hint="eastAsia"/>
          <w:sz w:val="28"/>
          <w:szCs w:val="28"/>
        </w:rPr>
        <w:t>原因及事實，於申訴評議決定書作成前，向本會申請迴避。</w:t>
      </w:r>
    </w:p>
    <w:p w:rsidR="00CD37CA" w:rsidRPr="006C019A" w:rsidRDefault="00CD37CA" w:rsidP="00CD37CA">
      <w:pPr>
        <w:spacing w:line="50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t>三、本會委員有第一項應自行迴避之事由而</w:t>
      </w:r>
      <w:proofErr w:type="gramStart"/>
      <w:r w:rsidRPr="006C019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C019A">
        <w:rPr>
          <w:rFonts w:ascii="標楷體" w:eastAsia="標楷體" w:hAnsi="標楷體" w:hint="eastAsia"/>
          <w:sz w:val="28"/>
          <w:szCs w:val="28"/>
        </w:rPr>
        <w:t>自行迴避，亦未經申訴人申請迴避者，應由本會主席命其迴避。</w:t>
      </w:r>
    </w:p>
    <w:p w:rsidR="00CD37CA" w:rsidRPr="006C019A" w:rsidRDefault="00CD37CA" w:rsidP="00CD37CA">
      <w:pPr>
        <w:spacing w:line="500" w:lineRule="exact"/>
        <w:ind w:leftChars="174" w:left="1118" w:hangingChars="250" w:hanging="700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/>
          <w:sz w:val="28"/>
          <w:szCs w:val="28"/>
        </w:rPr>
        <w:t xml:space="preserve"> </w:t>
      </w:r>
      <w:r w:rsidRPr="006C019A">
        <w:rPr>
          <w:rFonts w:ascii="標楷體" w:eastAsia="標楷體" w:hAnsi="標楷體" w:hint="eastAsia"/>
          <w:sz w:val="28"/>
          <w:szCs w:val="28"/>
        </w:rPr>
        <w:t>四、本會主席有第一項及第二項所定情形之</w:t>
      </w:r>
      <w:proofErr w:type="gramStart"/>
      <w:r w:rsidRPr="006C019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C019A">
        <w:rPr>
          <w:rFonts w:ascii="標楷體" w:eastAsia="標楷體" w:hAnsi="標楷體" w:hint="eastAsia"/>
          <w:sz w:val="28"/>
          <w:szCs w:val="28"/>
        </w:rPr>
        <w:t>者，由委員互推一人擔任主席。迴避之委員，不計入該項評議案之表決委員人數。</w:t>
      </w:r>
    </w:p>
    <w:p w:rsidR="007906F8" w:rsidRPr="00CD37CA" w:rsidRDefault="00CD37CA" w:rsidP="00CD37C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019A">
        <w:rPr>
          <w:rFonts w:ascii="標楷體" w:eastAsia="標楷體" w:hAnsi="標楷體" w:hint="eastAsia"/>
          <w:sz w:val="28"/>
          <w:szCs w:val="28"/>
        </w:rPr>
        <w:lastRenderedPageBreak/>
        <w:t>玖、本要點經</w:t>
      </w:r>
      <w:r w:rsidRPr="006C019A">
        <w:rPr>
          <w:rFonts w:ascii="標楷體" w:eastAsia="標楷體" w:hAnsi="標楷體"/>
          <w:sz w:val="28"/>
          <w:szCs w:val="28"/>
        </w:rPr>
        <w:t xml:space="preserve"> </w:t>
      </w:r>
      <w:r w:rsidRPr="006C019A">
        <w:rPr>
          <w:rFonts w:ascii="標楷體" w:eastAsia="標楷體" w:hAnsi="標楷體" w:hint="eastAsia"/>
          <w:sz w:val="28"/>
          <w:szCs w:val="28"/>
        </w:rPr>
        <w:t>校務會議通過</w:t>
      </w:r>
      <w:r w:rsidRPr="006C019A">
        <w:rPr>
          <w:rFonts w:ascii="標楷體" w:eastAsia="標楷體" w:hAnsi="標楷體" w:hint="eastAsia"/>
          <w:bCs/>
          <w:sz w:val="28"/>
          <w:szCs w:val="28"/>
        </w:rPr>
        <w:t>後實施，</w:t>
      </w:r>
      <w:r w:rsidRPr="006C019A">
        <w:rPr>
          <w:rFonts w:ascii="標楷體" w:eastAsia="標楷體" w:hAnsi="標楷體" w:hint="eastAsia"/>
          <w:sz w:val="28"/>
          <w:szCs w:val="28"/>
        </w:rPr>
        <w:t>修正時亦同。</w:t>
      </w:r>
      <w:bookmarkStart w:id="0" w:name="_GoBack"/>
      <w:bookmarkEnd w:id="0"/>
    </w:p>
    <w:sectPr w:rsidR="007906F8" w:rsidRPr="00CD37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BE" w:rsidRDefault="004260BE" w:rsidP="00CD37CA">
      <w:r>
        <w:separator/>
      </w:r>
    </w:p>
  </w:endnote>
  <w:endnote w:type="continuationSeparator" w:id="0">
    <w:p w:rsidR="004260BE" w:rsidRDefault="004260BE" w:rsidP="00CD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BE" w:rsidRDefault="004260BE" w:rsidP="00CD37CA">
      <w:r>
        <w:separator/>
      </w:r>
    </w:p>
  </w:footnote>
  <w:footnote w:type="continuationSeparator" w:id="0">
    <w:p w:rsidR="004260BE" w:rsidRDefault="004260BE" w:rsidP="00CD3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3B"/>
    <w:rsid w:val="004260BE"/>
    <w:rsid w:val="006B6340"/>
    <w:rsid w:val="0075133B"/>
    <w:rsid w:val="007906F8"/>
    <w:rsid w:val="00CD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CA"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3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B6340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B6340"/>
    <w:rPr>
      <w:rFonts w:ascii="Cambria" w:eastAsia="新細明體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6B6340"/>
    <w:rPr>
      <w:rFonts w:ascii="Cambria" w:eastAsia="新細明體" w:hAnsi="Cambria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6B6340"/>
    <w:pPr>
      <w:ind w:leftChars="200" w:left="480"/>
    </w:pPr>
    <w:rPr>
      <w:rFonts w:ascii="Times New Roman" w:hAnsi="Times New Roman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6B6340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D37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37CA"/>
    <w:rPr>
      <w:rFonts w:ascii="Times New Roman" w:eastAsia="新細明體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CD37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37CA"/>
    <w:rPr>
      <w:rFonts w:ascii="Times New Roman" w:eastAsia="新細明體" w:hAnsi="Times New Roman"/>
      <w:kern w:val="2"/>
    </w:rPr>
  </w:style>
  <w:style w:type="paragraph" w:customStyle="1" w:styleId="a9">
    <w:name w:val="一"/>
    <w:basedOn w:val="a"/>
    <w:rsid w:val="00CD37CA"/>
    <w:pPr>
      <w:ind w:left="560" w:hangingChars="200" w:hanging="560"/>
      <w:jc w:val="both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CA"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3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B6340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B6340"/>
    <w:rPr>
      <w:rFonts w:ascii="Cambria" w:eastAsia="新細明體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6B6340"/>
    <w:rPr>
      <w:rFonts w:ascii="Cambria" w:eastAsia="新細明體" w:hAnsi="Cambria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6B6340"/>
    <w:pPr>
      <w:ind w:leftChars="200" w:left="480"/>
    </w:pPr>
    <w:rPr>
      <w:rFonts w:ascii="Times New Roman" w:hAnsi="Times New Roman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6B6340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D37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37CA"/>
    <w:rPr>
      <w:rFonts w:ascii="Times New Roman" w:eastAsia="新細明體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CD37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37CA"/>
    <w:rPr>
      <w:rFonts w:ascii="Times New Roman" w:eastAsia="新細明體" w:hAnsi="Times New Roman"/>
      <w:kern w:val="2"/>
    </w:rPr>
  </w:style>
  <w:style w:type="paragraph" w:customStyle="1" w:styleId="a9">
    <w:name w:val="一"/>
    <w:basedOn w:val="a"/>
    <w:rsid w:val="00CD37CA"/>
    <w:pPr>
      <w:ind w:left="560" w:hangingChars="200" w:hanging="560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2014-09-04T01:22:00Z</dcterms:created>
  <dcterms:modified xsi:type="dcterms:W3CDTF">2014-09-04T01:22:00Z</dcterms:modified>
</cp:coreProperties>
</file>